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5A4F86F5"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r w:rsidR="000650ED">
        <w:rPr>
          <w:sz w:val="20"/>
          <w:szCs w:val="20"/>
        </w:rPr>
        <w:t xml:space="preserve">  </w:t>
      </w:r>
      <w:r w:rsidR="00450400">
        <w:rPr>
          <w:sz w:val="20"/>
          <w:szCs w:val="20"/>
        </w:rPr>
        <w:t>,</w:t>
      </w:r>
      <w:r w:rsidR="008B517D">
        <w:rPr>
          <w:sz w:val="20"/>
          <w:szCs w:val="20"/>
        </w:rPr>
        <w:t xml:space="preserve"> </w:t>
      </w:r>
      <w:r w:rsidR="000401FC">
        <w:rPr>
          <w:sz w:val="20"/>
          <w:szCs w:val="20"/>
        </w:rPr>
        <w:t>202</w:t>
      </w:r>
      <w:r w:rsidR="008F3F9C">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r w:rsidR="00385272">
        <w:rPr>
          <w:b/>
          <w:bCs/>
          <w:sz w:val="20"/>
          <w:szCs w:val="20"/>
        </w:rPr>
        <w:t xml:space="preserve">WHEREAS,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The Contractor shall refrain from providing services to other persons, firms or entities that would create a conflict of interest for Contractor with regard to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any and all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73A14B76"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20</w:t>
      </w:r>
      <w:r w:rsidR="0023799C">
        <w:rPr>
          <w:rFonts w:ascii="Times New Roman" w:hAnsi="Times New Roman"/>
          <w:snapToGrid/>
          <w:sz w:val="20"/>
        </w:rPr>
        <w:t>2</w:t>
      </w:r>
      <w:r w:rsidR="008F3F9C">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r w:rsidR="00C5193C">
        <w:rPr>
          <w:rFonts w:ascii="Times New Roman" w:hAnsi="Times New Roman"/>
          <w:snapToGrid/>
          <w:sz w:val="20"/>
        </w:rPr>
        <w:t xml:space="preserve"> [</w:t>
      </w:r>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538B98CE"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r w:rsidR="008271CA">
        <w:rPr>
          <w:sz w:val="20"/>
          <w:szCs w:val="20"/>
        </w:rPr>
        <w:t>, 202</w:t>
      </w:r>
      <w:r w:rsidR="008F3F9C">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r w:rsidR="00385272">
        <w:rPr>
          <w:b/>
          <w:bCs/>
          <w:sz w:val="20"/>
          <w:szCs w:val="20"/>
        </w:rPr>
        <w:t>.</w:t>
      </w:r>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r w:rsidR="00385272">
        <w:rPr>
          <w:sz w:val="20"/>
          <w:szCs w:val="20"/>
        </w:rPr>
        <w:t>.</w:t>
      </w:r>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Pr>
          <w:sz w:val="20"/>
          <w:u w:val="single"/>
        </w:rPr>
        <w:t>Garagekeepers Coverage</w:t>
      </w:r>
      <w:r w:rsidRPr="006D66E0">
        <w:rPr>
          <w:sz w:val="20"/>
        </w:rPr>
        <w:t xml:space="preserve">: </w:t>
      </w:r>
      <w:r>
        <w:rPr>
          <w:sz w:val="20"/>
        </w:rPr>
        <w:t xml:space="preserve">Garagekeepers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8F3F9C">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8F3F9C"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8F3F9C">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252D"/>
    <w:rsid w:val="00085F9B"/>
    <w:rsid w:val="00092CDB"/>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799C"/>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31538"/>
    <w:rsid w:val="008401C3"/>
    <w:rsid w:val="00861BF7"/>
    <w:rsid w:val="008701FF"/>
    <w:rsid w:val="008826EF"/>
    <w:rsid w:val="00897069"/>
    <w:rsid w:val="008B0CF3"/>
    <w:rsid w:val="008B517D"/>
    <w:rsid w:val="008B63EF"/>
    <w:rsid w:val="008D02BF"/>
    <w:rsid w:val="008D6DE2"/>
    <w:rsid w:val="008E3F5E"/>
    <w:rsid w:val="008F196E"/>
    <w:rsid w:val="008F3F9C"/>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0EA0"/>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11</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72</cp:revision>
  <cp:lastPrinted>2025-06-11T16:38:00Z</cp:lastPrinted>
  <dcterms:created xsi:type="dcterms:W3CDTF">2025-06-10T16:39:00Z</dcterms:created>
  <dcterms:modified xsi:type="dcterms:W3CDTF">2025-11-05T20:19:00Z</dcterms:modified>
</cp:coreProperties>
</file>